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5F" w:rsidRPr="003E4B49" w:rsidRDefault="00F21024" w:rsidP="00622C6D">
      <w:pPr>
        <w:jc w:val="right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62850" cy="10696575"/>
            <wp:effectExtent l="0" t="4763" r="0" b="0"/>
            <wp:docPr id="1" name="Рисунок 1" descr="H:\СКАН\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би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-14279" r="-11831" b="5197"/>
                    <a:stretch/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bookmarkStart w:id="0" w:name="_GoBack"/>
      <w:r w:rsidRPr="00F21024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Актуальность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             В дальнейшем этот подход был признан односторонним.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proofErr w:type="spellStart"/>
      <w:r w:rsidRPr="00F21024">
        <w:rPr>
          <w:rFonts w:ascii="Times New Roman" w:hAnsi="Times New Roman" w:cs="Times New Roman"/>
        </w:rPr>
        <w:t>PISA</w:t>
      </w:r>
      <w:proofErr w:type="spellEnd"/>
      <w:r w:rsidRPr="00F21024">
        <w:rPr>
          <w:rFonts w:ascii="Times New Roman" w:hAnsi="Times New Roman" w:cs="Times New Roman"/>
        </w:rPr>
        <w:t xml:space="preserve"> (</w:t>
      </w:r>
      <w:proofErr w:type="spellStart"/>
      <w:r w:rsidRPr="00F21024">
        <w:rPr>
          <w:rFonts w:ascii="Times New Roman" w:hAnsi="Times New Roman" w:cs="Times New Roman"/>
        </w:rPr>
        <w:t>ProgrammeforInternationalStudentAssessment</w:t>
      </w:r>
      <w:proofErr w:type="spellEnd"/>
      <w:r w:rsidRPr="00F21024">
        <w:rPr>
          <w:rFonts w:ascii="Times New Roman" w:hAnsi="Times New Roman" w:cs="Times New Roman"/>
        </w:rPr>
        <w:t xml:space="preserve">). И функциональная грамотность понимается </w:t>
      </w:r>
      <w:proofErr w:type="spellStart"/>
      <w:r w:rsidRPr="00F21024">
        <w:rPr>
          <w:rFonts w:ascii="Times New Roman" w:hAnsi="Times New Roman" w:cs="Times New Roman"/>
        </w:rPr>
        <w:t>PISAкак</w:t>
      </w:r>
      <w:proofErr w:type="spellEnd"/>
      <w:r w:rsidRPr="00F21024">
        <w:rPr>
          <w:rFonts w:ascii="Times New Roman" w:hAnsi="Times New Roman" w:cs="Times New Roman"/>
        </w:rPr>
        <w:t xml:space="preserve"> знания и умения, необходимые для полноценного функционирования человека в современном обществе. </w:t>
      </w:r>
      <w:proofErr w:type="spellStart"/>
      <w:r w:rsidRPr="00F21024">
        <w:rPr>
          <w:rFonts w:ascii="Times New Roman" w:hAnsi="Times New Roman" w:cs="Times New Roman"/>
        </w:rPr>
        <w:t>PISA</w:t>
      </w:r>
      <w:proofErr w:type="gramStart"/>
      <w:r w:rsidRPr="00F21024">
        <w:rPr>
          <w:rFonts w:ascii="Times New Roman" w:hAnsi="Times New Roman" w:cs="Times New Roman"/>
        </w:rPr>
        <w:t>в</w:t>
      </w:r>
      <w:proofErr w:type="spellEnd"/>
      <w:proofErr w:type="gramEnd"/>
      <w:r w:rsidRPr="00F21024">
        <w:rPr>
          <w:rFonts w:ascii="Times New Roman" w:hAnsi="Times New Roman" w:cs="Times New Roman"/>
        </w:rPr>
        <w:t xml:space="preserve"> своих мониторингах оценивает  и естественнонаучную грамотность.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 xml:space="preserve">Результаты </w:t>
      </w:r>
      <w:proofErr w:type="spellStart"/>
      <w:r w:rsidRPr="00F21024">
        <w:rPr>
          <w:rFonts w:ascii="Times New Roman" w:hAnsi="Times New Roman" w:cs="Times New Roman"/>
        </w:rPr>
        <w:t>лонгитюдных</w:t>
      </w:r>
      <w:proofErr w:type="spellEnd"/>
      <w:r w:rsidRPr="00F21024">
        <w:rPr>
          <w:rFonts w:ascii="Times New Roman" w:hAnsi="Times New Roman" w:cs="Times New Roman"/>
        </w:rPr>
        <w:t xml:space="preserve"> исследований, проведенных на выборках 2000 и 2003 гг. странами-участницами мониторингов </w:t>
      </w:r>
      <w:proofErr w:type="spellStart"/>
      <w:r w:rsidRPr="00F21024">
        <w:rPr>
          <w:rFonts w:ascii="Times New Roman" w:hAnsi="Times New Roman" w:cs="Times New Roman"/>
        </w:rPr>
        <w:t>PISAпоказали</w:t>
      </w:r>
      <w:proofErr w:type="spellEnd"/>
      <w:r w:rsidRPr="00F21024">
        <w:rPr>
          <w:rFonts w:ascii="Times New Roman" w:hAnsi="Times New Roman" w:cs="Times New Roman"/>
        </w:rPr>
        <w:t>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lastRenderedPageBreak/>
        <w:t>Целеполагание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Программа нацелена на развитие: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  <w:i/>
          <w:iCs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</w:t>
      </w:r>
      <w:proofErr w:type="spellStart"/>
      <w:r w:rsidRPr="00F21024">
        <w:rPr>
          <w:rFonts w:ascii="Times New Roman" w:hAnsi="Times New Roman" w:cs="Times New Roman"/>
          <w:i/>
          <w:iCs/>
        </w:rPr>
        <w:t>активнуюгражданскую</w:t>
      </w:r>
      <w:proofErr w:type="spellEnd"/>
      <w:r w:rsidRPr="00F21024">
        <w:rPr>
          <w:rFonts w:ascii="Times New Roman" w:hAnsi="Times New Roman" w:cs="Times New Roman"/>
          <w:i/>
          <w:iCs/>
        </w:rPr>
        <w:t xml:space="preserve"> позицию при рассмотрении проблем, связанных с естествознанием (естественнонаучная грамотность;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  <w:i/>
          <w:iCs/>
        </w:rPr>
        <w:t xml:space="preserve">способности человека </w:t>
      </w:r>
      <w:proofErr w:type="spellStart"/>
      <w:r w:rsidRPr="00F21024">
        <w:rPr>
          <w:rFonts w:ascii="Times New Roman" w:hAnsi="Times New Roman" w:cs="Times New Roman"/>
          <w:i/>
          <w:iCs/>
        </w:rPr>
        <w:t>принимать</w:t>
      </w:r>
      <w:r w:rsidRPr="00F21024">
        <w:rPr>
          <w:rFonts w:ascii="Times New Roman" w:hAnsi="Times New Roman" w:cs="Times New Roman"/>
        </w:rPr>
        <w:t>эффективные</w:t>
      </w:r>
      <w:proofErr w:type="spellEnd"/>
      <w:r w:rsidRPr="00F21024">
        <w:rPr>
          <w:rFonts w:ascii="Times New Roman" w:hAnsi="Times New Roman" w:cs="Times New Roman"/>
        </w:rPr>
        <w:t xml:space="preserve">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Характеристика образовательного процесса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 xml:space="preserve">Программа рассчитана на 5 лет обучения (с 5 по 9 классы), реализуется из части </w:t>
      </w:r>
      <w:proofErr w:type="gramStart"/>
      <w:r w:rsidRPr="00F21024">
        <w:rPr>
          <w:rFonts w:ascii="Times New Roman" w:hAnsi="Times New Roman" w:cs="Times New Roman"/>
        </w:rP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F21024">
        <w:rPr>
          <w:rFonts w:ascii="Times New Roman" w:hAnsi="Times New Roman" w:cs="Times New Roman"/>
        </w:rPr>
        <w:t xml:space="preserve">  модуль: естественнонаучная грамотность.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Разработанный учебно-тематический план программы описывает содержание модуля из расчета одного/двух часов в неделю в каждом класс- комплекте. Тем не менее, каждое образовательное учреждение индивидуально проектирует учебный план по каждой параллели и по каждому модулю.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 xml:space="preserve">Таким образом, количество часов на один год обучения в одном класс -  34ч, </w:t>
      </w:r>
      <w:proofErr w:type="spellStart"/>
      <w:r w:rsidRPr="00F21024">
        <w:rPr>
          <w:rFonts w:ascii="Times New Roman" w:hAnsi="Times New Roman" w:cs="Times New Roman"/>
        </w:rPr>
        <w:t>т.е</w:t>
      </w:r>
      <w:proofErr w:type="spellEnd"/>
      <w:r w:rsidRPr="00F21024">
        <w:rPr>
          <w:rFonts w:ascii="Times New Roman" w:hAnsi="Times New Roman" w:cs="Times New Roman"/>
        </w:rPr>
        <w:t xml:space="preserve"> по 1 ч в неделю: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18 часов для модуля естественнонаучной грамотности;</w:t>
      </w:r>
    </w:p>
    <w:p w:rsidR="003E4B49" w:rsidRPr="00F21024" w:rsidRDefault="003E4B49" w:rsidP="003E4B4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2 часа на проведение аттестации, завершающих освоение программы по соответствующему году обучения.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lastRenderedPageBreak/>
        <w:t>В 6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F21024">
        <w:rPr>
          <w:rFonts w:ascii="Times New Roman" w:hAnsi="Times New Roman" w:cs="Times New Roman"/>
        </w:rPr>
        <w:t>квест</w:t>
      </w:r>
      <w:proofErr w:type="spellEnd"/>
      <w:r w:rsidRPr="00F21024">
        <w:rPr>
          <w:rFonts w:ascii="Times New Roman" w:hAnsi="Times New Roman" w:cs="Times New Roman"/>
        </w:rPr>
        <w:t xml:space="preserve">, </w:t>
      </w:r>
      <w:proofErr w:type="spellStart"/>
      <w:r w:rsidRPr="00F21024">
        <w:rPr>
          <w:rFonts w:ascii="Times New Roman" w:hAnsi="Times New Roman" w:cs="Times New Roman"/>
        </w:rPr>
        <w:t>квиз</w:t>
      </w:r>
      <w:proofErr w:type="spellEnd"/>
      <w:r w:rsidRPr="00F21024">
        <w:rPr>
          <w:rFonts w:ascii="Times New Roman" w:hAnsi="Times New Roman" w:cs="Times New Roman"/>
        </w:rPr>
        <w:t>, проект.</w:t>
      </w:r>
    </w:p>
    <w:p w:rsidR="003E4B49" w:rsidRPr="00F21024" w:rsidRDefault="003E4B49" w:rsidP="003E4B49">
      <w:pPr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</w:rPr>
        <w:t xml:space="preserve">В соответствии с приказом </w:t>
      </w:r>
      <w:proofErr w:type="spellStart"/>
      <w:r w:rsidRPr="00F21024">
        <w:rPr>
          <w:rFonts w:ascii="Times New Roman" w:hAnsi="Times New Roman" w:cs="Times New Roman"/>
        </w:rPr>
        <w:t>Минобрнауки</w:t>
      </w:r>
      <w:proofErr w:type="spellEnd"/>
      <w:r w:rsidRPr="00F21024">
        <w:rPr>
          <w:rFonts w:ascii="Times New Roman" w:hAnsi="Times New Roman" w:cs="Times New Roman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разработчики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:rsidR="000D455F" w:rsidRPr="00F21024" w:rsidRDefault="000D455F" w:rsidP="000D455F">
      <w:pPr>
        <w:jc w:val="center"/>
        <w:rPr>
          <w:rFonts w:ascii="Times New Roman" w:hAnsi="Times New Roman" w:cs="Times New Roman"/>
          <w:b/>
          <w:bCs/>
        </w:rPr>
      </w:pPr>
    </w:p>
    <w:p w:rsidR="000D455F" w:rsidRPr="00F21024" w:rsidRDefault="000D455F" w:rsidP="000D455F">
      <w:pPr>
        <w:jc w:val="center"/>
        <w:rPr>
          <w:rFonts w:ascii="Times New Roman" w:hAnsi="Times New Roman" w:cs="Times New Roman"/>
          <w:b/>
          <w:bCs/>
        </w:rPr>
      </w:pPr>
    </w:p>
    <w:p w:rsidR="000D455F" w:rsidRPr="00F21024" w:rsidRDefault="000D455F" w:rsidP="000D455F">
      <w:pPr>
        <w:jc w:val="center"/>
        <w:rPr>
          <w:rFonts w:ascii="Times New Roman" w:hAnsi="Times New Roman" w:cs="Times New Roman"/>
          <w:b/>
          <w:bCs/>
        </w:rPr>
      </w:pPr>
    </w:p>
    <w:p w:rsidR="000D455F" w:rsidRPr="00F21024" w:rsidRDefault="000D455F" w:rsidP="000D455F">
      <w:pPr>
        <w:jc w:val="center"/>
        <w:rPr>
          <w:rFonts w:ascii="Times New Roman" w:hAnsi="Times New Roman" w:cs="Times New Roman"/>
          <w:b/>
          <w:bCs/>
        </w:rPr>
      </w:pPr>
    </w:p>
    <w:p w:rsidR="000D455F" w:rsidRPr="00F21024" w:rsidRDefault="000D455F" w:rsidP="00622C6D">
      <w:pPr>
        <w:rPr>
          <w:rFonts w:ascii="Times New Roman" w:hAnsi="Times New Roman" w:cs="Times New Roman"/>
          <w:b/>
          <w:bCs/>
        </w:rPr>
      </w:pPr>
    </w:p>
    <w:p w:rsidR="00622C6D" w:rsidRPr="00F21024" w:rsidRDefault="00622C6D" w:rsidP="00622C6D">
      <w:pPr>
        <w:rPr>
          <w:rFonts w:ascii="Times New Roman" w:hAnsi="Times New Roman" w:cs="Times New Roman"/>
          <w:b/>
          <w:bCs/>
        </w:rPr>
      </w:pPr>
    </w:p>
    <w:p w:rsidR="000D455F" w:rsidRPr="00F21024" w:rsidRDefault="000D455F" w:rsidP="000D455F">
      <w:pPr>
        <w:jc w:val="center"/>
        <w:rPr>
          <w:rFonts w:ascii="Times New Roman" w:hAnsi="Times New Roman" w:cs="Times New Roman"/>
          <w:b/>
          <w:bCs/>
        </w:rPr>
      </w:pPr>
    </w:p>
    <w:p w:rsidR="000D455F" w:rsidRPr="00F21024" w:rsidRDefault="000D455F" w:rsidP="000D455F">
      <w:pPr>
        <w:jc w:val="center"/>
        <w:rPr>
          <w:rFonts w:ascii="Times New Roman" w:hAnsi="Times New Roman" w:cs="Times New Roman"/>
          <w:b/>
          <w:bCs/>
        </w:rPr>
      </w:pPr>
    </w:p>
    <w:p w:rsidR="003E4B49" w:rsidRPr="00F21024" w:rsidRDefault="003E4B49" w:rsidP="000D455F">
      <w:pPr>
        <w:jc w:val="center"/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  <w:b/>
          <w:bCs/>
        </w:rPr>
        <w:t>Календарно-тематическое планирование курса внеурочной деятельности</w:t>
      </w:r>
    </w:p>
    <w:p w:rsidR="003E4B49" w:rsidRPr="00F21024" w:rsidRDefault="003E4B49" w:rsidP="000D455F">
      <w:pPr>
        <w:jc w:val="center"/>
        <w:rPr>
          <w:rFonts w:ascii="Times New Roman" w:hAnsi="Times New Roman" w:cs="Times New Roman"/>
        </w:rPr>
      </w:pPr>
      <w:r w:rsidRPr="00F21024">
        <w:rPr>
          <w:rFonts w:ascii="Times New Roman" w:hAnsi="Times New Roman" w:cs="Times New Roman"/>
          <w:b/>
          <w:bCs/>
        </w:rPr>
        <w:t>Модуль «Основы естест</w:t>
      </w:r>
      <w:r w:rsidR="000D455F" w:rsidRPr="00F21024">
        <w:rPr>
          <w:rFonts w:ascii="Times New Roman" w:hAnsi="Times New Roman" w:cs="Times New Roman"/>
          <w:b/>
          <w:bCs/>
        </w:rPr>
        <w:t xml:space="preserve">венно - научной грамотности», 8 </w:t>
      </w:r>
      <w:r w:rsidRPr="00F21024">
        <w:rPr>
          <w:rFonts w:ascii="Times New Roman" w:hAnsi="Times New Roman" w:cs="Times New Roman"/>
          <w:b/>
          <w:bCs/>
        </w:rPr>
        <w:t>класс</w:t>
      </w:r>
    </w:p>
    <w:tbl>
      <w:tblPr>
        <w:tblpPr w:leftFromText="180" w:rightFromText="180" w:vertAnchor="text" w:horzAnchor="margin" w:tblpX="-398" w:tblpY="382"/>
        <w:tblW w:w="15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0206"/>
        <w:gridCol w:w="850"/>
        <w:gridCol w:w="1134"/>
        <w:gridCol w:w="1134"/>
        <w:gridCol w:w="1107"/>
      </w:tblGrid>
      <w:tr w:rsidR="00622C6D" w:rsidRPr="00F21024" w:rsidTr="00622C6D">
        <w:trPr>
          <w:trHeight w:val="44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занятия в году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Кол.</w:t>
            </w:r>
          </w:p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Дата</w:t>
            </w:r>
          </w:p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Дата</w:t>
            </w:r>
          </w:p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2C6D" w:rsidRPr="00F21024" w:rsidTr="00622C6D">
        <w:trPr>
          <w:trHeight w:val="211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Ураган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0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bottom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Радиоактивность.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1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bottom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Искусственная радиоактивность.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28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Изменения состояния веществ.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51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bottom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299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bottom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Размножение организмов.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24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bottom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Индивидуальное развитие организмов. Биогенетический закон.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31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Закономерности наследования признаков.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531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Вид и популяции. Общая характеристика популяции.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85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Экологические факторы и условия среды обитания. Происхождение видов.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31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 xml:space="preserve">Закономерности изменчивости: </w:t>
            </w:r>
            <w:proofErr w:type="spellStart"/>
            <w:r w:rsidRPr="00F21024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F21024">
              <w:rPr>
                <w:rFonts w:ascii="Times New Roman" w:hAnsi="Times New Roman" w:cs="Times New Roman"/>
              </w:rPr>
              <w:t xml:space="preserve"> и мутационная изменчивости.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29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Основные методы селекции растений, животных и микроорганизмов.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29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bottom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Потоки вещества и энергии в экосистеме. Саморазвитие экосистемы. Биосфера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29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proofErr w:type="spellStart"/>
            <w:r w:rsidRPr="00F21024">
              <w:rPr>
                <w:rFonts w:ascii="Times New Roman" w:hAnsi="Times New Roman" w:cs="Times New Roman"/>
              </w:rPr>
              <w:t>Средообразующая</w:t>
            </w:r>
            <w:proofErr w:type="spellEnd"/>
            <w:r w:rsidRPr="00F21024">
              <w:rPr>
                <w:rFonts w:ascii="Times New Roman" w:hAnsi="Times New Roman" w:cs="Times New Roman"/>
              </w:rPr>
              <w:t xml:space="preserve"> деятельность организмов. Круговорот веществ в биосфере. Эволюция биосферы.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51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bottom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Антропогенное воздействие на биосферу.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vAlign w:val="bottom"/>
            <w:hideMark/>
          </w:tcPr>
          <w:p w:rsidR="000D455F" w:rsidRPr="00F21024" w:rsidRDefault="000D455F" w:rsidP="00622C6D">
            <w:pPr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Основы рационального природопользования.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pStyle w:val="a7"/>
            </w:pPr>
            <w:r w:rsidRPr="00F21024">
              <w:t>Ураган, торнадо. Землетрясение, цунами, объяснение их происхождения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  <w:hideMark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Занимательное электричество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  <w:hideMark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Магнетизм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 w:line="254" w:lineRule="auto"/>
            </w:pPr>
            <w:r w:rsidRPr="00F21024">
              <w:rPr>
                <w:color w:val="000000"/>
                <w:sz w:val="22"/>
                <w:szCs w:val="22"/>
              </w:rPr>
              <w:t>Электромагнетизм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Строительство плотин.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Гидроэлектростанции.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 w:line="254" w:lineRule="auto"/>
            </w:pPr>
            <w:r w:rsidRPr="00F21024">
              <w:rPr>
                <w:color w:val="000000"/>
                <w:sz w:val="22"/>
                <w:szCs w:val="22"/>
              </w:rPr>
              <w:t>Экологические риски при строительстве гидроэлектростанций.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Нетрадиционные виды энергетики, объединенные энергосистемы.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Экологические риски при строительстве гидроэлектростанций.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 w:line="254" w:lineRule="auto"/>
            </w:pPr>
            <w:r w:rsidRPr="00F21024">
              <w:rPr>
                <w:color w:val="000000"/>
                <w:sz w:val="22"/>
                <w:szCs w:val="22"/>
              </w:rPr>
              <w:t>Внутренняя среда организма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Кровь.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Иммунитет.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Наследственность.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 w:line="254" w:lineRule="auto"/>
            </w:pPr>
            <w:r w:rsidRPr="00F21024">
              <w:rPr>
                <w:color w:val="000000"/>
                <w:sz w:val="22"/>
                <w:szCs w:val="22"/>
              </w:rPr>
              <w:t>Системы жизнедеятельности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Вода. Уникальность воды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Углекислый газ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widowControl w:val="0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Земля, внутреннее строение Земли..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C6D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spacing w:before="0" w:beforeAutospacing="0" w:after="0" w:afterAutospacing="0"/>
            </w:pPr>
            <w:r w:rsidRPr="00F21024">
              <w:rPr>
                <w:color w:val="000000"/>
                <w:sz w:val="22"/>
                <w:szCs w:val="22"/>
              </w:rPr>
              <w:t>Проведение рубежной аттестации.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55F" w:rsidRPr="00F21024" w:rsidTr="00622C6D">
        <w:trPr>
          <w:trHeight w:val="1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28" w:type="dxa"/>
              <w:bottom w:w="84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28" w:type="dxa"/>
              <w:bottom w:w="84" w:type="dxa"/>
              <w:right w:w="28" w:type="dxa"/>
            </w:tcMar>
            <w:vAlign w:val="center"/>
          </w:tcPr>
          <w:p w:rsidR="000D455F" w:rsidRPr="00F21024" w:rsidRDefault="000D455F" w:rsidP="00622C6D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024">
              <w:rPr>
                <w:color w:val="000000"/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28" w:type="dxa"/>
              <w:bottom w:w="58" w:type="dxa"/>
              <w:right w:w="28" w:type="dxa"/>
            </w:tcMar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  <w:r w:rsidRPr="00F2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55F" w:rsidRPr="00F21024" w:rsidRDefault="000D455F" w:rsidP="0062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B49" w:rsidRPr="00F21024" w:rsidRDefault="003E4B49" w:rsidP="000D455F">
      <w:pPr>
        <w:jc w:val="center"/>
        <w:rPr>
          <w:rFonts w:ascii="Times New Roman" w:hAnsi="Times New Roman" w:cs="Times New Roman"/>
        </w:rPr>
      </w:pPr>
    </w:p>
    <w:bookmarkEnd w:id="0"/>
    <w:p w:rsidR="00BB6A71" w:rsidRPr="00F21024" w:rsidRDefault="007F12FE">
      <w:pPr>
        <w:rPr>
          <w:rFonts w:ascii="Times New Roman" w:hAnsi="Times New Roman" w:cs="Times New Roman"/>
        </w:rPr>
      </w:pPr>
    </w:p>
    <w:sectPr w:rsidR="00BB6A71" w:rsidRPr="00F21024" w:rsidSect="000D455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FE" w:rsidRDefault="007F12FE" w:rsidP="00225F0A">
      <w:pPr>
        <w:spacing w:after="0" w:line="240" w:lineRule="auto"/>
      </w:pPr>
      <w:r>
        <w:separator/>
      </w:r>
    </w:p>
  </w:endnote>
  <w:endnote w:type="continuationSeparator" w:id="0">
    <w:p w:rsidR="007F12FE" w:rsidRDefault="007F12FE" w:rsidP="0022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FE" w:rsidRDefault="007F12FE" w:rsidP="00225F0A">
      <w:pPr>
        <w:spacing w:after="0" w:line="240" w:lineRule="auto"/>
      </w:pPr>
      <w:r>
        <w:separator/>
      </w:r>
    </w:p>
  </w:footnote>
  <w:footnote w:type="continuationSeparator" w:id="0">
    <w:p w:rsidR="007F12FE" w:rsidRDefault="007F12FE" w:rsidP="0022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112E"/>
    <w:multiLevelType w:val="multilevel"/>
    <w:tmpl w:val="6BA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49"/>
    <w:rsid w:val="000D455F"/>
    <w:rsid w:val="00225F0A"/>
    <w:rsid w:val="003E4B49"/>
    <w:rsid w:val="005E5581"/>
    <w:rsid w:val="00622C6D"/>
    <w:rsid w:val="007F12FE"/>
    <w:rsid w:val="008B2D5A"/>
    <w:rsid w:val="0094238F"/>
    <w:rsid w:val="00B16A6A"/>
    <w:rsid w:val="00C033F3"/>
    <w:rsid w:val="00D75324"/>
    <w:rsid w:val="00F21024"/>
    <w:rsid w:val="00F519D1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F0A"/>
  </w:style>
  <w:style w:type="paragraph" w:styleId="a5">
    <w:name w:val="footer"/>
    <w:basedOn w:val="a"/>
    <w:link w:val="a6"/>
    <w:uiPriority w:val="99"/>
    <w:unhideWhenUsed/>
    <w:rsid w:val="0022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F0A"/>
  </w:style>
  <w:style w:type="paragraph" w:styleId="a7">
    <w:name w:val="Normal (Web)"/>
    <w:basedOn w:val="a"/>
    <w:uiPriority w:val="99"/>
    <w:semiHidden/>
    <w:unhideWhenUsed/>
    <w:rsid w:val="0022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F0A"/>
  </w:style>
  <w:style w:type="paragraph" w:styleId="a5">
    <w:name w:val="footer"/>
    <w:basedOn w:val="a"/>
    <w:link w:val="a6"/>
    <w:uiPriority w:val="99"/>
    <w:unhideWhenUsed/>
    <w:rsid w:val="0022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F0A"/>
  </w:style>
  <w:style w:type="paragraph" w:styleId="a7">
    <w:name w:val="Normal (Web)"/>
    <w:basedOn w:val="a"/>
    <w:uiPriority w:val="99"/>
    <w:semiHidden/>
    <w:unhideWhenUsed/>
    <w:rsid w:val="0022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Мусса Президент</dc:creator>
  <cp:lastModifiedBy>999</cp:lastModifiedBy>
  <cp:revision>2</cp:revision>
  <cp:lastPrinted>2022-09-30T12:31:00Z</cp:lastPrinted>
  <dcterms:created xsi:type="dcterms:W3CDTF">2022-09-30T12:39:00Z</dcterms:created>
  <dcterms:modified xsi:type="dcterms:W3CDTF">2022-09-30T12:39:00Z</dcterms:modified>
</cp:coreProperties>
</file>